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6" w:rsidRPr="009378DF" w:rsidRDefault="00555806" w:rsidP="0055580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8</w:t>
      </w:r>
    </w:p>
    <w:p w:rsidR="00555806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555806" w:rsidRPr="00EE774A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555806" w:rsidRPr="00EE774A" w:rsidRDefault="00555806" w:rsidP="0055580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03555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9D7DB3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月</w:t>
      </w:r>
      <w:r w:rsidR="009D7DB3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55806" w:rsidRPr="000A55B8" w:rsidRDefault="00555806" w:rsidP="00A03A58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AB4688" w:rsidRPr="00AB4688">
        <w:rPr>
          <w:rFonts w:ascii="宋体" w:hAnsi="宋体" w:hint="eastAsia"/>
          <w:color w:val="000000"/>
          <w:sz w:val="28"/>
          <w:szCs w:val="28"/>
        </w:rPr>
        <w:t>858,597,000.00</w:t>
      </w:r>
      <w:r w:rsidR="009D7DB3">
        <w:rPr>
          <w:rFonts w:ascii="宋体" w:hAnsi="宋体" w:hint="eastAsia"/>
          <w:color w:val="000000"/>
          <w:sz w:val="28"/>
          <w:szCs w:val="28"/>
        </w:rPr>
        <w:t>元。</w:t>
      </w:r>
    </w:p>
    <w:p w:rsidR="00555806" w:rsidRPr="00812F4C" w:rsidRDefault="00555806" w:rsidP="00812F4C">
      <w:pPr>
        <w:ind w:firstLine="420"/>
        <w:rPr>
          <w:rFonts w:ascii="宋体" w:hAnsi="宋体"/>
          <w:b/>
          <w:color w:val="000000"/>
          <w:sz w:val="28"/>
          <w:szCs w:val="28"/>
        </w:rPr>
      </w:pPr>
      <w:r w:rsidRPr="00812F4C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E1C93" w:rsidRPr="006E1C93" w:rsidRDefault="006E1C93" w:rsidP="006E1C93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  <w:r w:rsidRPr="006E1C93">
        <w:rPr>
          <w:rFonts w:ascii="宋体" w:hAnsi="宋体" w:hint="eastAsia"/>
          <w:color w:val="000000"/>
          <w:sz w:val="28"/>
          <w:szCs w:val="28"/>
        </w:rPr>
        <w:t>于2018年5月17日（含）起，调整“乾元—满溢”360天开放式资产组合型人民币理财产品（机构版）客户</w:t>
      </w:r>
      <w:proofErr w:type="gramStart"/>
      <w:r w:rsidRPr="006E1C93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E1C93">
        <w:rPr>
          <w:rFonts w:ascii="宋体" w:hAnsi="宋体" w:hint="eastAsia"/>
          <w:color w:val="000000"/>
          <w:sz w:val="28"/>
          <w:szCs w:val="28"/>
        </w:rPr>
        <w:t>，具体如下表：</w:t>
      </w:r>
    </w:p>
    <w:p w:rsidR="006E1C93" w:rsidRPr="006E1C93" w:rsidRDefault="006E1C93" w:rsidP="006E1C93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tbl>
      <w:tblPr>
        <w:tblW w:w="3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357"/>
        <w:gridCol w:w="2414"/>
      </w:tblGrid>
      <w:tr w:rsidR="006E1C93" w:rsidRPr="006E1C93" w:rsidTr="006E1C93">
        <w:trPr>
          <w:trHeight w:val="20"/>
          <w:tblHeader/>
          <w:jc w:val="center"/>
        </w:trPr>
        <w:tc>
          <w:tcPr>
            <w:tcW w:w="1635" w:type="dxa"/>
            <w:vAlign w:val="center"/>
            <w:hideMark/>
          </w:tcPr>
          <w:p w:rsidR="006E1C93" w:rsidRPr="006E1C93" w:rsidRDefault="006E1C93" w:rsidP="002B4BC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E1C93">
              <w:rPr>
                <w:rFonts w:ascii="宋体" w:hAnsi="宋体" w:hint="eastAsia"/>
                <w:color w:val="000000"/>
                <w:sz w:val="22"/>
                <w:szCs w:val="28"/>
              </w:rPr>
              <w:t>档期设置</w:t>
            </w:r>
          </w:p>
        </w:tc>
        <w:tc>
          <w:tcPr>
            <w:tcW w:w="2357" w:type="dxa"/>
            <w:vAlign w:val="center"/>
            <w:hideMark/>
          </w:tcPr>
          <w:p w:rsidR="006E1C93" w:rsidRPr="006E1C93" w:rsidRDefault="006E1C93" w:rsidP="002B4BC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E1C93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6E1C93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6E1C93" w:rsidRPr="006E1C93" w:rsidRDefault="006E1C93" w:rsidP="002B4BC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E1C93">
              <w:rPr>
                <w:rFonts w:ascii="宋体" w:hAnsi="宋体" w:hint="eastAsia"/>
                <w:color w:val="000000"/>
                <w:sz w:val="22"/>
                <w:szCs w:val="28"/>
              </w:rPr>
              <w:t>（调整前）</w:t>
            </w:r>
          </w:p>
        </w:tc>
        <w:tc>
          <w:tcPr>
            <w:tcW w:w="2414" w:type="dxa"/>
            <w:hideMark/>
          </w:tcPr>
          <w:p w:rsidR="006E1C93" w:rsidRPr="006E1C93" w:rsidRDefault="006E1C93" w:rsidP="002B4BC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E1C93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6E1C93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6E1C93" w:rsidRPr="006E1C93" w:rsidRDefault="006E1C93" w:rsidP="002B4BC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E1C93">
              <w:rPr>
                <w:rFonts w:ascii="宋体" w:hAnsi="宋体" w:hint="eastAsia"/>
                <w:color w:val="000000"/>
                <w:sz w:val="22"/>
                <w:szCs w:val="28"/>
              </w:rPr>
              <w:t>（调整后）</w:t>
            </w:r>
          </w:p>
        </w:tc>
      </w:tr>
      <w:tr w:rsidR="006E1C93" w:rsidRPr="006E1C93" w:rsidTr="006E1C93">
        <w:trPr>
          <w:trHeight w:val="20"/>
          <w:jc w:val="center"/>
        </w:trPr>
        <w:tc>
          <w:tcPr>
            <w:tcW w:w="1635" w:type="dxa"/>
            <w:vAlign w:val="center"/>
            <w:hideMark/>
          </w:tcPr>
          <w:p w:rsidR="006E1C93" w:rsidRPr="006E1C93" w:rsidRDefault="006E1C93" w:rsidP="002B4BC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E1C93">
              <w:rPr>
                <w:rFonts w:ascii="宋体" w:hAnsi="宋体" w:hint="eastAsia"/>
                <w:color w:val="000000"/>
                <w:sz w:val="22"/>
                <w:szCs w:val="28"/>
              </w:rPr>
              <w:t>360天</w:t>
            </w:r>
          </w:p>
        </w:tc>
        <w:tc>
          <w:tcPr>
            <w:tcW w:w="2357" w:type="dxa"/>
            <w:hideMark/>
          </w:tcPr>
          <w:p w:rsidR="006E1C93" w:rsidRPr="006E1C93" w:rsidRDefault="006E1C93" w:rsidP="002B4BC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E1C93">
              <w:rPr>
                <w:rFonts w:ascii="宋体" w:hAnsi="宋体"/>
                <w:color w:val="000000"/>
                <w:sz w:val="22"/>
                <w:szCs w:val="28"/>
              </w:rPr>
              <w:t>5.00%</w:t>
            </w:r>
          </w:p>
        </w:tc>
        <w:tc>
          <w:tcPr>
            <w:tcW w:w="2414" w:type="dxa"/>
            <w:hideMark/>
          </w:tcPr>
          <w:p w:rsidR="006E1C93" w:rsidRPr="006E1C93" w:rsidRDefault="006E1C93" w:rsidP="002B4BC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E1C93">
              <w:rPr>
                <w:rFonts w:ascii="宋体" w:hAnsi="宋体"/>
                <w:color w:val="000000"/>
                <w:sz w:val="22"/>
                <w:szCs w:val="28"/>
              </w:rPr>
              <w:t>4.70%</w:t>
            </w:r>
          </w:p>
        </w:tc>
      </w:tr>
    </w:tbl>
    <w:p w:rsidR="006E1C93" w:rsidRPr="006E1C93" w:rsidRDefault="006E1C93" w:rsidP="006E1C93">
      <w:pPr>
        <w:spacing w:line="560" w:lineRule="exact"/>
        <w:rPr>
          <w:rFonts w:ascii="宋体" w:hAnsi="宋体"/>
          <w:color w:val="000000"/>
          <w:sz w:val="28"/>
          <w:szCs w:val="28"/>
        </w:rPr>
      </w:pPr>
    </w:p>
    <w:p w:rsidR="00B42290" w:rsidRDefault="006E1C93" w:rsidP="00B4229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6E1C93">
        <w:rPr>
          <w:rFonts w:ascii="宋体" w:hAnsi="宋体" w:hint="eastAsia"/>
          <w:color w:val="000000"/>
          <w:sz w:val="28"/>
          <w:szCs w:val="28"/>
        </w:rPr>
        <w:t>新客户</w:t>
      </w:r>
      <w:proofErr w:type="gramStart"/>
      <w:r w:rsidRPr="006E1C93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E1C93">
        <w:rPr>
          <w:rFonts w:ascii="宋体" w:hAnsi="宋体" w:hint="eastAsia"/>
          <w:color w:val="000000"/>
          <w:sz w:val="28"/>
          <w:szCs w:val="28"/>
        </w:rPr>
        <w:t>于2018年5月17日（含）起执行。对于2018年5月17日（不含）前已经购买成功且未赎回的存量投资本金，其中封闭期内的份额仍按照购买确认日当日的客户</w:t>
      </w:r>
      <w:proofErr w:type="gramStart"/>
      <w:r w:rsidRPr="006E1C93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E1C93">
        <w:rPr>
          <w:rFonts w:ascii="宋体" w:hAnsi="宋体" w:hint="eastAsia"/>
          <w:color w:val="000000"/>
          <w:sz w:val="28"/>
          <w:szCs w:val="28"/>
        </w:rPr>
        <w:t>计算投资收益，非封闭期内的份额从2018年5月17日（含）起按调整后的</w:t>
      </w:r>
      <w:proofErr w:type="gramStart"/>
      <w:r w:rsidRPr="006E1C93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E1C93">
        <w:rPr>
          <w:rFonts w:ascii="宋体" w:hAnsi="宋体" w:hint="eastAsia"/>
          <w:color w:val="000000"/>
          <w:sz w:val="28"/>
          <w:szCs w:val="28"/>
        </w:rPr>
        <w:t>计算投资收益。2018年5月17日（含）后购买的部分自动执行调整后的客户</w:t>
      </w:r>
      <w:proofErr w:type="gramStart"/>
      <w:r w:rsidRPr="006E1C93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E1C93">
        <w:rPr>
          <w:rFonts w:ascii="宋体" w:hAnsi="宋体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6E1C93">
        <w:rPr>
          <w:rFonts w:ascii="宋体" w:hAnsi="宋体" w:hint="eastAsia"/>
          <w:color w:val="000000"/>
          <w:sz w:val="28"/>
          <w:szCs w:val="28"/>
        </w:rPr>
        <w:t>行最终</w:t>
      </w:r>
      <w:proofErr w:type="gramEnd"/>
      <w:r w:rsidRPr="006E1C93">
        <w:rPr>
          <w:rFonts w:ascii="宋体" w:hAnsi="宋体" w:hint="eastAsia"/>
          <w:color w:val="000000"/>
          <w:sz w:val="28"/>
          <w:szCs w:val="28"/>
        </w:rPr>
        <w:t>支付的</w:t>
      </w:r>
      <w:proofErr w:type="gramStart"/>
      <w:r w:rsidRPr="006E1C93">
        <w:rPr>
          <w:rFonts w:ascii="宋体" w:hAnsi="宋体" w:hint="eastAsia"/>
          <w:color w:val="000000"/>
          <w:sz w:val="28"/>
          <w:szCs w:val="28"/>
        </w:rPr>
        <w:t>实际年化收益率</w:t>
      </w:r>
      <w:proofErr w:type="gramEnd"/>
      <w:r w:rsidRPr="006E1C93">
        <w:rPr>
          <w:rFonts w:ascii="宋体" w:hAnsi="宋体" w:hint="eastAsia"/>
          <w:color w:val="000000"/>
          <w:sz w:val="28"/>
          <w:szCs w:val="28"/>
        </w:rPr>
        <w:t>为准。</w:t>
      </w:r>
    </w:p>
    <w:p w:rsidR="005451D6" w:rsidRDefault="005451D6" w:rsidP="00B4229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二、产品投资组合详细情况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555806" w:rsidRPr="00EE774A" w:rsidRDefault="00B42290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C5B2855" wp14:editId="57CC8AC6">
            <wp:extent cx="3133725" cy="1762125"/>
            <wp:effectExtent l="3810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555806" w:rsidRPr="00EE774A" w:rsidRDefault="00B42290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465FF8A" wp14:editId="0D8120A8">
            <wp:extent cx="3276600" cy="1876425"/>
            <wp:effectExtent l="38100" t="0" r="19050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5789" w:rsidRPr="00EE774A" w:rsidRDefault="00585789" w:rsidP="0058578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7F5088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7F5088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555806" w:rsidRPr="005622F6" w:rsidRDefault="00B42290" w:rsidP="0055580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CB3494F" wp14:editId="2BCB6AD2">
            <wp:extent cx="5095875" cy="2095500"/>
            <wp:effectExtent l="0" t="0" r="9525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555806" w:rsidRPr="00EE774A" w:rsidRDefault="00555806" w:rsidP="0055580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12F4C" w:rsidRDefault="00812F4C" w:rsidP="0055580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555806">
        <w:rPr>
          <w:rFonts w:ascii="宋体" w:hAnsi="宋体" w:hint="eastAsia"/>
          <w:color w:val="000000"/>
          <w:sz w:val="28"/>
          <w:szCs w:val="28"/>
        </w:rPr>
        <w:t>年</w:t>
      </w:r>
      <w:r w:rsidR="00B42290">
        <w:rPr>
          <w:rFonts w:ascii="宋体" w:hAnsi="宋体" w:hint="eastAsia"/>
          <w:color w:val="000000"/>
          <w:sz w:val="28"/>
          <w:szCs w:val="28"/>
        </w:rPr>
        <w:t>6</w:t>
      </w:r>
      <w:r w:rsidR="00555806">
        <w:rPr>
          <w:rFonts w:ascii="宋体" w:hAnsi="宋体" w:hint="eastAsia"/>
          <w:color w:val="000000"/>
          <w:sz w:val="28"/>
          <w:szCs w:val="28"/>
        </w:rPr>
        <w:t>月</w:t>
      </w:r>
      <w:r w:rsidR="00B42290">
        <w:rPr>
          <w:rFonts w:ascii="宋体" w:hAnsi="宋体" w:hint="eastAsia"/>
          <w:color w:val="000000"/>
          <w:sz w:val="28"/>
          <w:szCs w:val="28"/>
        </w:rPr>
        <w:t>5</w:t>
      </w:r>
      <w:r w:rsidR="00555806">
        <w:rPr>
          <w:rFonts w:ascii="宋体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81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FB" w:rsidRDefault="00BE13FB" w:rsidP="00555806">
      <w:r>
        <w:separator/>
      </w:r>
    </w:p>
  </w:endnote>
  <w:endnote w:type="continuationSeparator" w:id="0">
    <w:p w:rsidR="00BE13FB" w:rsidRDefault="00BE13FB" w:rsidP="005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FB" w:rsidRDefault="00BE13FB" w:rsidP="00555806">
      <w:r>
        <w:separator/>
      </w:r>
    </w:p>
  </w:footnote>
  <w:footnote w:type="continuationSeparator" w:id="0">
    <w:p w:rsidR="00BE13FB" w:rsidRDefault="00BE13FB" w:rsidP="0055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45"/>
    <w:rsid w:val="00035553"/>
    <w:rsid w:val="000838BE"/>
    <w:rsid w:val="000F1972"/>
    <w:rsid w:val="00116B32"/>
    <w:rsid w:val="00153C80"/>
    <w:rsid w:val="00176DC2"/>
    <w:rsid w:val="001F3745"/>
    <w:rsid w:val="002168C5"/>
    <w:rsid w:val="002C5ACF"/>
    <w:rsid w:val="002D1B79"/>
    <w:rsid w:val="00331DB9"/>
    <w:rsid w:val="00350CA0"/>
    <w:rsid w:val="003D3431"/>
    <w:rsid w:val="004038E1"/>
    <w:rsid w:val="004530A2"/>
    <w:rsid w:val="00466FD6"/>
    <w:rsid w:val="0048724C"/>
    <w:rsid w:val="0050099A"/>
    <w:rsid w:val="0051730D"/>
    <w:rsid w:val="005451D6"/>
    <w:rsid w:val="00555806"/>
    <w:rsid w:val="00585789"/>
    <w:rsid w:val="006427FB"/>
    <w:rsid w:val="006E1C93"/>
    <w:rsid w:val="00766041"/>
    <w:rsid w:val="00772013"/>
    <w:rsid w:val="007C756B"/>
    <w:rsid w:val="007F19B6"/>
    <w:rsid w:val="007F1F77"/>
    <w:rsid w:val="007F4074"/>
    <w:rsid w:val="00812F4C"/>
    <w:rsid w:val="00895061"/>
    <w:rsid w:val="00986389"/>
    <w:rsid w:val="0099059D"/>
    <w:rsid w:val="009A3F6A"/>
    <w:rsid w:val="009B4592"/>
    <w:rsid w:val="009D7DB3"/>
    <w:rsid w:val="00A03A58"/>
    <w:rsid w:val="00A32B04"/>
    <w:rsid w:val="00A5443F"/>
    <w:rsid w:val="00A66F45"/>
    <w:rsid w:val="00A96539"/>
    <w:rsid w:val="00AB4688"/>
    <w:rsid w:val="00B0121E"/>
    <w:rsid w:val="00B2730B"/>
    <w:rsid w:val="00B42290"/>
    <w:rsid w:val="00B74E10"/>
    <w:rsid w:val="00B84614"/>
    <w:rsid w:val="00BE07DB"/>
    <w:rsid w:val="00BE13FB"/>
    <w:rsid w:val="00C911CE"/>
    <w:rsid w:val="00C92281"/>
    <w:rsid w:val="00D45DD6"/>
    <w:rsid w:val="00DA0B62"/>
    <w:rsid w:val="00DF18BA"/>
    <w:rsid w:val="00EF4DB4"/>
    <w:rsid w:val="00F45971"/>
    <w:rsid w:val="00F50F30"/>
    <w:rsid w:val="00FB7C02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5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30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5965687215928E-2"/>
          <c:y val="6.6436343034213238E-2"/>
          <c:w val="0.64213635490685617"/>
          <c:h val="0.8128773110409657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'2018年5月'!$A$328:$A$329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'2018年5月'!$B$328:$B$329</c:f>
              <c:numCache>
                <c:formatCode>0.00%</c:formatCode>
                <c:ptCount val="2"/>
                <c:pt idx="0">
                  <c:v>5.1766842010264299E-3</c:v>
                </c:pt>
                <c:pt idx="1">
                  <c:v>0.99482331579700856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572532721499789E-2"/>
          <c:y val="0.13881943143160425"/>
          <c:w val="0.72258941667641363"/>
          <c:h val="0.7986808758687038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'2018年5月'!$A$337:$A$340</c:f>
              <c:strCache>
                <c:ptCount val="4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AA+</c:v>
                </c:pt>
              </c:strCache>
            </c:strRef>
          </c:cat>
          <c:val>
            <c:numRef>
              <c:f>'2018年5月'!$B$337:$B$340</c:f>
              <c:numCache>
                <c:formatCode>0.00%</c:formatCode>
                <c:ptCount val="4"/>
                <c:pt idx="0">
                  <c:v>0.23228803716608595</c:v>
                </c:pt>
                <c:pt idx="1">
                  <c:v>0.34146341463414637</c:v>
                </c:pt>
                <c:pt idx="2">
                  <c:v>0.23228803716608595</c:v>
                </c:pt>
                <c:pt idx="3">
                  <c:v>0.19396051103368175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12671671854973"/>
          <c:y val="0.18634477796874377"/>
          <c:w val="0.18360281999633765"/>
          <c:h val="0.6273104440625125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'2018年5月'!$B$344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'2018年5月'!$A$345:$A$351</c:f>
              <c:strCache>
                <c:ptCount val="7"/>
                <c:pt idx="0">
                  <c:v>采矿业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租赁和商务服务业</c:v>
                </c:pt>
                <c:pt idx="5">
                  <c:v>电力、热力、燃气及水的生产和供应业</c:v>
                </c:pt>
                <c:pt idx="6">
                  <c:v>公共管理、社会保障和社会组织</c:v>
                </c:pt>
              </c:strCache>
            </c:strRef>
          </c:cat>
          <c:val>
            <c:numRef>
              <c:f>'2018年5月'!$B$345:$B$351</c:f>
              <c:numCache>
                <c:formatCode>0.00%</c:formatCode>
                <c:ptCount val="7"/>
                <c:pt idx="0">
                  <c:v>0</c:v>
                </c:pt>
                <c:pt idx="1">
                  <c:v>0.17421602787456447</c:v>
                </c:pt>
                <c:pt idx="2">
                  <c:v>0</c:v>
                </c:pt>
                <c:pt idx="3">
                  <c:v>0</c:v>
                </c:pt>
                <c:pt idx="4">
                  <c:v>0.65505226480836232</c:v>
                </c:pt>
                <c:pt idx="5">
                  <c:v>3.484320557491289E-2</c:v>
                </c:pt>
                <c:pt idx="6">
                  <c:v>0.13588850174216027</c:v>
                </c:pt>
              </c:numCache>
            </c:numRef>
          </c:val>
        </c:ser>
        <c:ser>
          <c:idx val="1"/>
          <c:order val="1"/>
          <c:tx>
            <c:strRef>
              <c:f>'2018年5月'!$C$344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'2018年5月'!$A$345:$A$351</c:f>
              <c:strCache>
                <c:ptCount val="7"/>
                <c:pt idx="0">
                  <c:v>采矿业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租赁和商务服务业</c:v>
                </c:pt>
                <c:pt idx="5">
                  <c:v>电力、热力、燃气及水的生产和供应业</c:v>
                </c:pt>
                <c:pt idx="6">
                  <c:v>公共管理、社会保障和社会组织</c:v>
                </c:pt>
              </c:strCache>
            </c:strRef>
          </c:cat>
          <c:val>
            <c:numRef>
              <c:f>'2018年5月'!$C$345:$C$351</c:f>
              <c:numCache>
                <c:formatCode>0.00%</c:formatCode>
                <c:ptCount val="7"/>
                <c:pt idx="0">
                  <c:v>0</c:v>
                </c:pt>
                <c:pt idx="1">
                  <c:v>0.20857056058857945</c:v>
                </c:pt>
                <c:pt idx="2">
                  <c:v>4.5081423763941676E-2</c:v>
                </c:pt>
                <c:pt idx="3">
                  <c:v>0.16696823616274697</c:v>
                </c:pt>
                <c:pt idx="4">
                  <c:v>0.33393647232549395</c:v>
                </c:pt>
                <c:pt idx="5">
                  <c:v>5.0090470848824085E-2</c:v>
                </c:pt>
                <c:pt idx="6">
                  <c:v>0.19535283631041395</c:v>
                </c:pt>
              </c:numCache>
            </c:numRef>
          </c:val>
        </c:ser>
        <c:ser>
          <c:idx val="2"/>
          <c:order val="2"/>
          <c:tx>
            <c:strRef>
              <c:f>'2018年5月'!$D$344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'2018年5月'!$A$345:$A$351</c:f>
              <c:strCache>
                <c:ptCount val="7"/>
                <c:pt idx="0">
                  <c:v>采矿业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租赁和商务服务业</c:v>
                </c:pt>
                <c:pt idx="5">
                  <c:v>电力、热力、燃气及水的生产和供应业</c:v>
                </c:pt>
                <c:pt idx="6">
                  <c:v>公共管理、社会保障和社会组织</c:v>
                </c:pt>
              </c:strCache>
            </c:strRef>
          </c:cat>
          <c:val>
            <c:numRef>
              <c:f>'2018年5月'!$D$345:$D$351</c:f>
              <c:numCache>
                <c:formatCode>0.00%</c:formatCode>
                <c:ptCount val="7"/>
                <c:pt idx="0">
                  <c:v>0</c:v>
                </c:pt>
                <c:pt idx="1">
                  <c:v>-3.4354532714014979E-2</c:v>
                </c:pt>
                <c:pt idx="2">
                  <c:v>-4.5081423763941676E-2</c:v>
                </c:pt>
                <c:pt idx="3">
                  <c:v>-0.16696823616274697</c:v>
                </c:pt>
                <c:pt idx="4">
                  <c:v>0.32111579248286837</c:v>
                </c:pt>
                <c:pt idx="5">
                  <c:v>-1.5247265273911195E-2</c:v>
                </c:pt>
                <c:pt idx="6">
                  <c:v>-5.9464334568253674E-2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724032"/>
        <c:axId val="87725568"/>
      </c:barChart>
      <c:catAx>
        <c:axId val="87724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7725568"/>
        <c:crosses val="autoZero"/>
        <c:auto val="1"/>
        <c:lblAlgn val="ctr"/>
        <c:lblOffset val="100"/>
        <c:noMultiLvlLbl val="0"/>
      </c:catAx>
      <c:valAx>
        <c:axId val="87725568"/>
        <c:scaling>
          <c:orientation val="minMax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87724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2018-06-04T08:32:00Z</dcterms:created>
  <dcterms:modified xsi:type="dcterms:W3CDTF">2018-06-04T08:33:00Z</dcterms:modified>
</cp:coreProperties>
</file>